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02EB1" w14:textId="77777777" w:rsidR="00DE04EA" w:rsidRDefault="00DE04EA" w:rsidP="00DE04EA"/>
    <w:p w14:paraId="522EF3B3" w14:textId="657536B2" w:rsidR="00D16AE2" w:rsidRDefault="00E2453A" w:rsidP="008B3E45">
      <w:pPr>
        <w:pStyle w:val="Title"/>
      </w:pPr>
      <w:r>
        <w:t>Visioning</w:t>
      </w:r>
      <w:r w:rsidR="00BE009B">
        <w:t xml:space="preserve">: </w:t>
      </w:r>
      <w:r w:rsidR="00FB35F6">
        <w:t>Operationalising the Vision</w:t>
      </w:r>
    </w:p>
    <w:p w14:paraId="25CCEE2B" w14:textId="4D82878B" w:rsidR="00FB35F6" w:rsidRPr="008B3E45" w:rsidRDefault="00BE009B" w:rsidP="008B3E45">
      <w:pPr>
        <w:pStyle w:val="Heading1"/>
      </w:pPr>
      <w:r w:rsidRPr="008B3E45">
        <w:t>Introduction</w:t>
      </w:r>
    </w:p>
    <w:p w14:paraId="21B6CBE6" w14:textId="77777777" w:rsidR="00553A18" w:rsidRDefault="00553A18" w:rsidP="008B3E45">
      <w:r w:rsidRPr="008B3E45">
        <w:t xml:space="preserve">Vision Statements are designed to paint a picture that will resonate with diverse audiences. To enhance their practical relevance to the wider plan it can be helpful to “operationalize” them, by taking the themes they encapsulate and defining them in operational terms, along with relevant measures through which progress can be evaluated. </w:t>
      </w:r>
    </w:p>
    <w:p w14:paraId="5F9651D5" w14:textId="77777777" w:rsidR="008B3E45" w:rsidRPr="008B3E45" w:rsidRDefault="008B3E45" w:rsidP="008B3E45"/>
    <w:p w14:paraId="7DB193F4" w14:textId="1047F898" w:rsidR="00F97658" w:rsidRDefault="00F554C2" w:rsidP="008B3E45">
      <w:r w:rsidRPr="002D6E0B">
        <w:t xml:space="preserve">This sheet </w:t>
      </w:r>
      <w:r w:rsidR="003C7DCF" w:rsidRPr="002D6E0B">
        <w:t>steps through the deconstruction of a vision into a set of operational definitions, measures and baselines.</w:t>
      </w:r>
    </w:p>
    <w:p w14:paraId="18E757CC" w14:textId="77777777" w:rsidR="008B3E45" w:rsidRPr="002D6E0B" w:rsidRDefault="008B3E45" w:rsidP="008B3E45"/>
    <w:p w14:paraId="05AE0E14" w14:textId="60CA1AB7" w:rsidR="00573B08" w:rsidRPr="00EE33C5" w:rsidRDefault="00573B08" w:rsidP="008B3E45">
      <w:r w:rsidRPr="00EE33C5">
        <w:rPr>
          <w:b/>
          <w:bCs/>
        </w:rPr>
        <w:t>Pros:</w:t>
      </w:r>
      <w:r w:rsidR="00927A19" w:rsidRPr="00EE33C5">
        <w:t xml:space="preserve"> </w:t>
      </w:r>
      <w:r w:rsidR="007A76E8" w:rsidRPr="00EE33C5">
        <w:t>Vision Statements are designed</w:t>
      </w:r>
      <w:r w:rsidR="003F164F" w:rsidRPr="00EE33C5">
        <w:t xml:space="preserve"> to</w:t>
      </w:r>
      <w:r w:rsidR="007A76E8" w:rsidRPr="00EE33C5">
        <w:t xml:space="preserve"> focus on the distant future</w:t>
      </w:r>
      <w:r w:rsidR="009B0D89" w:rsidRPr="00EE33C5">
        <w:t xml:space="preserve">. The rest of the planning process </w:t>
      </w:r>
      <w:r w:rsidR="00F45CE1" w:rsidRPr="00EE33C5">
        <w:t>generally has a 5-10 year horizon.</w:t>
      </w:r>
      <w:r w:rsidR="00EF3DCA" w:rsidRPr="00EE33C5">
        <w:t xml:space="preserve"> Operationalising the vision </w:t>
      </w:r>
      <w:r w:rsidR="003B6FB1" w:rsidRPr="00EE33C5">
        <w:t>help</w:t>
      </w:r>
      <w:r w:rsidR="001026D4" w:rsidRPr="00EE33C5">
        <w:t>s</w:t>
      </w:r>
      <w:r w:rsidR="006F5E5C" w:rsidRPr="00EE33C5">
        <w:t xml:space="preserve"> bridge the gap between </w:t>
      </w:r>
      <w:r w:rsidR="00A7409E" w:rsidRPr="00EE33C5">
        <w:t xml:space="preserve">the short-term actions </w:t>
      </w:r>
      <w:r w:rsidR="0069046F" w:rsidRPr="00EE33C5">
        <w:t xml:space="preserve">that </w:t>
      </w:r>
      <w:r w:rsidR="00A7409E" w:rsidRPr="00EE33C5">
        <w:t>targe</w:t>
      </w:r>
      <w:r w:rsidR="0069046F" w:rsidRPr="00EE33C5">
        <w:t>t</w:t>
      </w:r>
      <w:r w:rsidR="00A7409E" w:rsidRPr="00EE33C5">
        <w:t xml:space="preserve"> immediate </w:t>
      </w:r>
      <w:r w:rsidR="0069046F" w:rsidRPr="00EE33C5">
        <w:t xml:space="preserve">concerns and </w:t>
      </w:r>
      <w:r w:rsidR="00E46493" w:rsidRPr="00EE33C5">
        <w:t xml:space="preserve">information gaps, and </w:t>
      </w:r>
      <w:r w:rsidR="00B74349" w:rsidRPr="00EE33C5">
        <w:t xml:space="preserve">the ultimate conservation </w:t>
      </w:r>
      <w:r w:rsidR="005A48A2" w:rsidRPr="00EE33C5">
        <w:t>aim</w:t>
      </w:r>
      <w:r w:rsidR="00B74349" w:rsidRPr="00EE33C5">
        <w:t xml:space="preserve">s </w:t>
      </w:r>
      <w:r w:rsidR="005A48A2" w:rsidRPr="00EE33C5">
        <w:t>of the project</w:t>
      </w:r>
      <w:r w:rsidR="004440CE" w:rsidRPr="00EE33C5">
        <w:t xml:space="preserve"> which</w:t>
      </w:r>
      <w:r w:rsidR="001C20F5" w:rsidRPr="00EE33C5">
        <w:t xml:space="preserve"> may take decades to achieve</w:t>
      </w:r>
      <w:r w:rsidR="004440CE" w:rsidRPr="00EE33C5">
        <w:t xml:space="preserve">. </w:t>
      </w:r>
    </w:p>
    <w:p w14:paraId="2B4D65C1" w14:textId="77777777" w:rsidR="008B3E45" w:rsidRDefault="008B3E45" w:rsidP="008B3E45">
      <w:pPr>
        <w:rPr>
          <w:b/>
          <w:bCs/>
        </w:rPr>
      </w:pPr>
    </w:p>
    <w:p w14:paraId="09CDC1E3" w14:textId="7E1FF6D6" w:rsidR="00573B08" w:rsidRPr="00EE33C5" w:rsidRDefault="00573B08" w:rsidP="008B3E45">
      <w:r w:rsidRPr="00EE33C5">
        <w:rPr>
          <w:b/>
          <w:bCs/>
        </w:rPr>
        <w:t>Cons:</w:t>
      </w:r>
      <w:r w:rsidR="00E46493" w:rsidRPr="00EE33C5">
        <w:t xml:space="preserve"> </w:t>
      </w:r>
      <w:r w:rsidR="00795949" w:rsidRPr="00EE33C5">
        <w:t>W</w:t>
      </w:r>
      <w:r w:rsidR="00176E82" w:rsidRPr="00EE33C5">
        <w:t xml:space="preserve">hen planning for a species is first attempted </w:t>
      </w:r>
      <w:r w:rsidR="00795949" w:rsidRPr="00EE33C5">
        <w:t xml:space="preserve">the information gaps may </w:t>
      </w:r>
      <w:r w:rsidR="00153435" w:rsidRPr="00EE33C5">
        <w:t>be large, making it difficult to complete this</w:t>
      </w:r>
      <w:r w:rsidR="001242B6" w:rsidRPr="00EE33C5">
        <w:t xml:space="preserve"> task</w:t>
      </w:r>
      <w:r w:rsidR="00153435" w:rsidRPr="00EE33C5">
        <w:t xml:space="preserve"> </w:t>
      </w:r>
      <w:r w:rsidR="004D627B" w:rsidRPr="00EE33C5">
        <w:t>satisfactorily.</w:t>
      </w:r>
      <w:r w:rsidR="00BB6C3B" w:rsidRPr="00EE33C5">
        <w:t xml:space="preserve"> </w:t>
      </w:r>
      <w:r w:rsidR="00364E38" w:rsidRPr="00EE33C5">
        <w:t>Also, i</w:t>
      </w:r>
      <w:r w:rsidR="001C5622" w:rsidRPr="00EE33C5">
        <w:t xml:space="preserve">t </w:t>
      </w:r>
      <w:r w:rsidR="00E91E75" w:rsidRPr="00EE33C5">
        <w:t xml:space="preserve">adds time to the visioning process and </w:t>
      </w:r>
      <w:r w:rsidR="00D7458F" w:rsidRPr="00EE33C5">
        <w:t xml:space="preserve">may not be the best use of participant </w:t>
      </w:r>
      <w:r w:rsidR="00760118" w:rsidRPr="00EE33C5">
        <w:t xml:space="preserve">resources </w:t>
      </w:r>
      <w:r w:rsidR="00D7458F" w:rsidRPr="00EE33C5">
        <w:t>during a workshop – as long as sufficient trust and understanding is built around the visio</w:t>
      </w:r>
      <w:r w:rsidR="000D5AEB" w:rsidRPr="00EE33C5">
        <w:t>n</w:t>
      </w:r>
      <w:r w:rsidR="00D7458F" w:rsidRPr="00EE33C5">
        <w:t xml:space="preserve">ing process and purpose, this piece can be delivered </w:t>
      </w:r>
      <w:r w:rsidR="00760118" w:rsidRPr="00EE33C5">
        <w:t>post-workshop</w:t>
      </w:r>
      <w:r w:rsidR="00EE33C5" w:rsidRPr="00EE33C5">
        <w:t xml:space="preserve">, </w:t>
      </w:r>
      <w:r w:rsidR="00760118" w:rsidRPr="00EE33C5">
        <w:t>by a small group</w:t>
      </w:r>
      <w:r w:rsidR="000D5AEB" w:rsidRPr="00EE33C5">
        <w:t>.</w:t>
      </w:r>
    </w:p>
    <w:p w14:paraId="6673BF61" w14:textId="53457A40" w:rsidR="00BE009B" w:rsidRPr="003F0589" w:rsidRDefault="00EE33C5" w:rsidP="008B3E45">
      <w:pPr>
        <w:pStyle w:val="Heading1"/>
      </w:pPr>
      <w:r w:rsidRPr="003F0589">
        <w:t>Exercise:</w:t>
      </w:r>
    </w:p>
    <w:p w14:paraId="0F092AC9" w14:textId="0454A83D" w:rsidR="002849EB" w:rsidRDefault="005C5990" w:rsidP="008B3E45">
      <w:r w:rsidRPr="00914B15">
        <w:t>In a small group, t</w:t>
      </w:r>
      <w:r w:rsidR="000A5A2D" w:rsidRPr="00914B15">
        <w:t>ake the Vision Statement</w:t>
      </w:r>
      <w:r w:rsidR="00164160" w:rsidRPr="00914B15">
        <w:t xml:space="preserve"> and </w:t>
      </w:r>
      <w:r w:rsidR="003F0589">
        <w:t xml:space="preserve">query </w:t>
      </w:r>
      <w:r w:rsidR="00F53163" w:rsidRPr="00914B15">
        <w:t>its themes</w:t>
      </w:r>
      <w:r w:rsidR="002849EB">
        <w:t>.</w:t>
      </w:r>
    </w:p>
    <w:p w14:paraId="4446DDF5" w14:textId="49452B2A" w:rsidR="00A055E3" w:rsidRDefault="008B3E45" w:rsidP="008B3E45">
      <w:pPr>
        <w:rPr>
          <w:sz w:val="24"/>
          <w:szCs w:val="24"/>
        </w:rPr>
      </w:pPr>
      <w:r>
        <w:rPr>
          <w:noProof/>
        </w:rPr>
        <mc:AlternateContent>
          <mc:Choice Requires="wps">
            <w:drawing>
              <wp:anchor distT="0" distB="0" distL="114300" distR="114300" simplePos="0" relativeHeight="251663360" behindDoc="0" locked="0" layoutInCell="1" allowOverlap="1" wp14:anchorId="63F80135" wp14:editId="0D777164">
                <wp:simplePos x="0" y="0"/>
                <wp:positionH relativeFrom="margin">
                  <wp:align>left</wp:align>
                </wp:positionH>
                <wp:positionV relativeFrom="paragraph">
                  <wp:posOffset>128905</wp:posOffset>
                </wp:positionV>
                <wp:extent cx="2879725" cy="2376170"/>
                <wp:effectExtent l="0" t="0" r="15875" b="24130"/>
                <wp:wrapSquare wrapText="bothSides"/>
                <wp:docPr id="3" name="Rectangle: Rounded Corners 2"/>
                <wp:cNvGraphicFramePr/>
                <a:graphic xmlns:a="http://schemas.openxmlformats.org/drawingml/2006/main">
                  <a:graphicData uri="http://schemas.microsoft.com/office/word/2010/wordprocessingShape">
                    <wps:wsp>
                      <wps:cNvSpPr/>
                      <wps:spPr>
                        <a:xfrm>
                          <a:off x="0" y="0"/>
                          <a:ext cx="2880116" cy="237646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0DD00D9" w14:textId="77777777" w:rsidR="00B817EB" w:rsidRPr="00DE04EA" w:rsidRDefault="00B817EB" w:rsidP="008B3E45">
                            <w:pPr>
                              <w:rPr>
                                <w:rFonts w:eastAsia="+mn-ea"/>
                                <w:b/>
                                <w:bCs/>
                                <w:lang w:val="en-NZ"/>
                              </w:rPr>
                            </w:pPr>
                            <w:r w:rsidRPr="00DE04EA">
                              <w:rPr>
                                <w:rFonts w:eastAsia="+mn-ea"/>
                                <w:b/>
                                <w:bCs/>
                                <w:lang w:val="en-NZ"/>
                              </w:rPr>
                              <w:t xml:space="preserve">The 50-year VISION for the international SHO conservation community is: </w:t>
                            </w:r>
                          </w:p>
                          <w:p w14:paraId="697674FF" w14:textId="77777777" w:rsidR="00B817EB" w:rsidRPr="00ED3FF8" w:rsidRDefault="00B817EB" w:rsidP="008B3E45">
                            <w:pPr>
                              <w:rPr>
                                <w:rFonts w:eastAsia="+mn-ea"/>
                                <w:lang w:val="en-NZ"/>
                              </w:rPr>
                            </w:pPr>
                            <w:r w:rsidRPr="00ED3FF8">
                              <w:rPr>
                                <w:rFonts w:eastAsia="+mn-ea"/>
                                <w:lang w:val="en-NZ"/>
                              </w:rPr>
                              <w:t>Viable, secure, free ranging populations of scimitar horned oryx moving through a regional mosaic of interconnected areas, both strictly protected and for multiple use, distributed within ancestral range, in harmony with local people, restoring pride, cultural and natural heritage, economic and ecosystem value.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3F80135" id="Rectangle: Rounded Corners 2" o:spid="_x0000_s1026" style="position:absolute;margin-left:0;margin-top:10.15pt;width:226.75pt;height:187.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" fillcolor="white [3201]" strokecolor="black [3200]" strokeweight="1pt">
                <v:stroke joinstyle="miter"/>
                <v:textbox>
                  <w:txbxContent>
                    <w:p w14:paraId="70DD00D9" w14:textId="77777777" w:rsidR="00B817EB" w:rsidRPr="00DE04EA" w:rsidRDefault="00B817EB" w:rsidP="008B3E45">
                      <w:pPr>
                        <w:rPr>
                          <w:rFonts w:eastAsia="+mn-ea"/>
                          <w:b/>
                          <w:bCs/>
                          <w:lang w:val="en-NZ"/>
                        </w:rPr>
                      </w:pPr>
                      <w:r w:rsidRPr="00DE04EA">
                        <w:rPr>
                          <w:rFonts w:eastAsia="+mn-ea"/>
                          <w:b/>
                          <w:bCs/>
                          <w:lang w:val="en-NZ"/>
                        </w:rPr>
                        <w:t xml:space="preserve">The 50-year VISION for the international SHO conservation community is: </w:t>
                      </w:r>
                    </w:p>
                    <w:p w14:paraId="697674FF" w14:textId="77777777" w:rsidR="00B817EB" w:rsidRPr="00ED3FF8" w:rsidRDefault="00B817EB" w:rsidP="008B3E45">
                      <w:pPr>
                        <w:rPr>
                          <w:rFonts w:eastAsia="+mn-ea"/>
                          <w:lang w:val="en-NZ"/>
                        </w:rPr>
                      </w:pPr>
                      <w:r w:rsidRPr="00ED3FF8">
                        <w:rPr>
                          <w:rFonts w:eastAsia="+mn-ea"/>
                          <w:lang w:val="en-NZ"/>
                        </w:rPr>
                        <w:t>Viable, secure, free ranging populations of scimitar horned oryx moving through a regional mosaic of interconnected areas, both strictly protected and for multiple use, distributed within ancestral range, in harmony with local people, restoring pride, cultural and natural heritage, economic and ecosystem value.</w:t>
                      </w:r>
                    </w:p>
                  </w:txbxContent>
                </v:textbox>
                <w10:wrap type="square" anchorx="margin"/>
              </v:roundrect>
            </w:pict>
          </mc:Fallback>
        </mc:AlternateContent>
      </w:r>
    </w:p>
    <w:p w14:paraId="299FAB05" w14:textId="3EC6D30C" w:rsidR="00A055E3" w:rsidRDefault="00A40239" w:rsidP="008B3E45">
      <w:r>
        <w:rPr>
          <w:noProof/>
        </w:rPr>
        <mc:AlternateContent>
          <mc:Choice Requires="wps">
            <w:drawing>
              <wp:anchor distT="45720" distB="45720" distL="114300" distR="114300" simplePos="0" relativeHeight="251665408" behindDoc="0" locked="0" layoutInCell="1" allowOverlap="1" wp14:anchorId="314B754E" wp14:editId="6907BC67">
                <wp:simplePos x="0" y="0"/>
                <wp:positionH relativeFrom="margin">
                  <wp:align>right</wp:align>
                </wp:positionH>
                <wp:positionV relativeFrom="paragraph">
                  <wp:posOffset>5936</wp:posOffset>
                </wp:positionV>
                <wp:extent cx="2767649"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649" cy="1404620"/>
                        </a:xfrm>
                        <a:prstGeom prst="rect">
                          <a:avLst/>
                        </a:prstGeom>
                        <a:solidFill>
                          <a:srgbClr val="FFFFFF"/>
                        </a:solidFill>
                        <a:ln w="9525">
                          <a:noFill/>
                          <a:miter lim="800000"/>
                          <a:headEnd/>
                          <a:tailEnd/>
                        </a:ln>
                      </wps:spPr>
                      <wps:txbx>
                        <w:txbxContent>
                          <w:p w14:paraId="2578D2BC" w14:textId="77777777" w:rsidR="00A055E3" w:rsidRPr="003A5060" w:rsidRDefault="00A055E3" w:rsidP="008B3E45">
                            <w:r w:rsidRPr="003A5060">
                              <w:t>For example, in this vision:</w:t>
                            </w:r>
                          </w:p>
                          <w:p w14:paraId="27393217" w14:textId="77777777" w:rsidR="00A055E3" w:rsidRPr="003A5060" w:rsidRDefault="00A055E3" w:rsidP="008B3E45">
                            <w:pPr>
                              <w:pStyle w:val="ListParagraph"/>
                              <w:numPr>
                                <w:ilvl w:val="0"/>
                                <w:numId w:val="2"/>
                              </w:numPr>
                            </w:pPr>
                            <w:r w:rsidRPr="003A5060">
                              <w:t>What do we mean by “Viable”?</w:t>
                            </w:r>
                          </w:p>
                          <w:p w14:paraId="5843743F" w14:textId="77777777" w:rsidR="00A055E3" w:rsidRPr="003A5060" w:rsidRDefault="00A055E3" w:rsidP="008B3E45">
                            <w:pPr>
                              <w:pStyle w:val="ListParagraph"/>
                              <w:numPr>
                                <w:ilvl w:val="0"/>
                                <w:numId w:val="2"/>
                              </w:numPr>
                            </w:pPr>
                            <w:r w:rsidRPr="003A5060">
                              <w:t>How are we defining “Ancestral Range”?</w:t>
                            </w:r>
                          </w:p>
                          <w:p w14:paraId="2FF9A37C" w14:textId="0649D130" w:rsidR="00A055E3" w:rsidRPr="003A5060" w:rsidRDefault="00156885" w:rsidP="008B3E45">
                            <w:pPr>
                              <w:pStyle w:val="ListParagraph"/>
                              <w:numPr>
                                <w:ilvl w:val="0"/>
                                <w:numId w:val="2"/>
                              </w:numPr>
                            </w:pPr>
                            <w:r w:rsidRPr="003A5060">
                              <w:t>What does “in harmony with local people” mean in real life?</w:t>
                            </w:r>
                          </w:p>
                          <w:p w14:paraId="450B6878" w14:textId="29D89A57" w:rsidR="00156885" w:rsidRPr="003A5060" w:rsidRDefault="003A5060" w:rsidP="008B3E45">
                            <w:pPr>
                              <w:pStyle w:val="ListParagraph"/>
                              <w:numPr>
                                <w:ilvl w:val="0"/>
                                <w:numId w:val="2"/>
                              </w:numPr>
                            </w:pPr>
                            <w:r w:rsidRPr="003A5060">
                              <w:t>What can we measure to track progress over time</w:t>
                            </w:r>
                            <w:r w:rsidR="003F0589">
                              <w:t xml:space="preserve"> with these aims</w:t>
                            </w:r>
                            <w:r w:rsidRPr="003A5060">
                              <w:t>?</w:t>
                            </w:r>
                          </w:p>
                          <w:p w14:paraId="2ECF7133" w14:textId="4B837C07" w:rsidR="00A055E3" w:rsidRPr="003A5060" w:rsidRDefault="003A5060" w:rsidP="008B3E45">
                            <w:pPr>
                              <w:pStyle w:val="ListParagraph"/>
                              <w:numPr>
                                <w:ilvl w:val="0"/>
                                <w:numId w:val="2"/>
                              </w:numPr>
                            </w:pPr>
                            <w:r w:rsidRPr="003A5060">
                              <w:t xml:space="preserve">What’s is our starting point or baseline for each of these?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B754E" id="_x0000_t202" coordsize="21600,21600" o:spt="202" path="m,l,21600r21600,l21600,xe">
                <v:stroke joinstyle="miter"/>
                <v:path gradientshapeok="t" o:connecttype="rect"/>
              </v:shapetype>
              <v:shape id="Text Box 2" o:spid="_x0000_s1027" type="#_x0000_t202" style="position:absolute;margin-left:166.75pt;margin-top:.45pt;width:217.9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" stroked="f">
                <v:textbox style="mso-fit-shape-to-text:t">
                  <w:txbxContent>
                    <w:p w14:paraId="2578D2BC" w14:textId="77777777" w:rsidR="00A055E3" w:rsidRPr="003A5060" w:rsidRDefault="00A055E3" w:rsidP="008B3E45">
                      <w:r w:rsidRPr="003A5060">
                        <w:t>For example, in this vision:</w:t>
                      </w:r>
                    </w:p>
                    <w:p w14:paraId="27393217" w14:textId="77777777" w:rsidR="00A055E3" w:rsidRPr="003A5060" w:rsidRDefault="00A055E3" w:rsidP="008B3E45">
                      <w:pPr>
                        <w:pStyle w:val="ListParagraph"/>
                        <w:numPr>
                          <w:ilvl w:val="0"/>
                          <w:numId w:val="2"/>
                        </w:numPr>
                      </w:pPr>
                      <w:r w:rsidRPr="003A5060">
                        <w:t>What do we mean by “Viable”?</w:t>
                      </w:r>
                    </w:p>
                    <w:p w14:paraId="5843743F" w14:textId="77777777" w:rsidR="00A055E3" w:rsidRPr="003A5060" w:rsidRDefault="00A055E3" w:rsidP="008B3E45">
                      <w:pPr>
                        <w:pStyle w:val="ListParagraph"/>
                        <w:numPr>
                          <w:ilvl w:val="0"/>
                          <w:numId w:val="2"/>
                        </w:numPr>
                      </w:pPr>
                      <w:r w:rsidRPr="003A5060">
                        <w:t>How are we defining “Ancestral Range”?</w:t>
                      </w:r>
                    </w:p>
                    <w:p w14:paraId="2FF9A37C" w14:textId="0649D130" w:rsidR="00A055E3" w:rsidRPr="003A5060" w:rsidRDefault="00156885" w:rsidP="008B3E45">
                      <w:pPr>
                        <w:pStyle w:val="ListParagraph"/>
                        <w:numPr>
                          <w:ilvl w:val="0"/>
                          <w:numId w:val="2"/>
                        </w:numPr>
                      </w:pPr>
                      <w:r w:rsidRPr="003A5060">
                        <w:t>What does “in harmony with local people” mean in real life?</w:t>
                      </w:r>
                    </w:p>
                    <w:p w14:paraId="450B6878" w14:textId="29D89A57" w:rsidR="00156885" w:rsidRPr="003A5060" w:rsidRDefault="003A5060" w:rsidP="008B3E45">
                      <w:pPr>
                        <w:pStyle w:val="ListParagraph"/>
                        <w:numPr>
                          <w:ilvl w:val="0"/>
                          <w:numId w:val="2"/>
                        </w:numPr>
                      </w:pPr>
                      <w:r w:rsidRPr="003A5060">
                        <w:t>What can we measure to track progress over time</w:t>
                      </w:r>
                      <w:r w:rsidR="003F0589">
                        <w:t xml:space="preserve"> with these aims</w:t>
                      </w:r>
                      <w:r w:rsidRPr="003A5060">
                        <w:t>?</w:t>
                      </w:r>
                    </w:p>
                    <w:p w14:paraId="2ECF7133" w14:textId="4B837C07" w:rsidR="00A055E3" w:rsidRPr="003A5060" w:rsidRDefault="003A5060" w:rsidP="008B3E45">
                      <w:pPr>
                        <w:pStyle w:val="ListParagraph"/>
                        <w:numPr>
                          <w:ilvl w:val="0"/>
                          <w:numId w:val="2"/>
                        </w:numPr>
                      </w:pPr>
                      <w:r w:rsidRPr="003A5060">
                        <w:t xml:space="preserve">What’s is our starting point or baseline for each of these? </w:t>
                      </w:r>
                    </w:p>
                  </w:txbxContent>
                </v:textbox>
                <w10:wrap anchorx="margin"/>
              </v:shape>
            </w:pict>
          </mc:Fallback>
        </mc:AlternateContent>
      </w:r>
    </w:p>
    <w:p w14:paraId="145285C8" w14:textId="04B402D4" w:rsidR="00A055E3" w:rsidRDefault="00A055E3" w:rsidP="008B3E45"/>
    <w:p w14:paraId="6B9FCCD0" w14:textId="77777777" w:rsidR="00A055E3" w:rsidRDefault="00A055E3" w:rsidP="008B3E45"/>
    <w:p w14:paraId="35B3C713" w14:textId="62F7F205" w:rsidR="00A055E3" w:rsidRDefault="00A055E3" w:rsidP="008B3E45"/>
    <w:p w14:paraId="1DF71AC1" w14:textId="3A71C7B1" w:rsidR="00A055E3" w:rsidRDefault="00A055E3" w:rsidP="008B3E45"/>
    <w:p w14:paraId="1ED04682" w14:textId="08F5AF9B" w:rsidR="00B817EB" w:rsidRDefault="00B817EB" w:rsidP="008B3E45"/>
    <w:p w14:paraId="6C854FB0" w14:textId="77777777" w:rsidR="00B817EB" w:rsidRDefault="00B817EB" w:rsidP="008B3E45"/>
    <w:p w14:paraId="60D7C6D2" w14:textId="77777777" w:rsidR="00B817EB" w:rsidRDefault="00B817EB" w:rsidP="008B3E45"/>
    <w:p w14:paraId="2353F119" w14:textId="77777777" w:rsidR="00B817EB" w:rsidRDefault="00B817EB" w:rsidP="008B3E45"/>
    <w:p w14:paraId="7D44BFF8" w14:textId="77777777" w:rsidR="00B817EB" w:rsidRDefault="00B817EB" w:rsidP="008B3E45"/>
    <w:p w14:paraId="678C4400" w14:textId="77777777" w:rsidR="008B3E45" w:rsidRDefault="008B3E45" w:rsidP="008B3E45"/>
    <w:p w14:paraId="720042AE" w14:textId="77777777" w:rsidR="008B3E45" w:rsidRDefault="008B3E45" w:rsidP="008B3E45"/>
    <w:p w14:paraId="65566F77" w14:textId="77777777" w:rsidR="00A40239" w:rsidRDefault="00A40239" w:rsidP="008B3E45"/>
    <w:p w14:paraId="1B5C10C2" w14:textId="77777777" w:rsidR="00DE04EA" w:rsidRDefault="00DE04EA" w:rsidP="008B3E45">
      <w:pPr>
        <w:rPr>
          <w:b/>
          <w:bCs/>
        </w:rPr>
      </w:pPr>
    </w:p>
    <w:p w14:paraId="12A8814E" w14:textId="77777777" w:rsidR="00DE04EA" w:rsidRDefault="00DE04EA" w:rsidP="008B3E45">
      <w:pPr>
        <w:rPr>
          <w:b/>
          <w:bCs/>
        </w:rPr>
      </w:pPr>
    </w:p>
    <w:p w14:paraId="4C22377B" w14:textId="35FBA9A9" w:rsidR="00A40239" w:rsidRPr="00A40239" w:rsidRDefault="00A40239" w:rsidP="008B3E45">
      <w:pPr>
        <w:rPr>
          <w:b/>
          <w:bCs/>
        </w:rPr>
      </w:pPr>
      <w:r w:rsidRPr="00A40239">
        <w:rPr>
          <w:b/>
          <w:bCs/>
        </w:rPr>
        <w:t>Then:</w:t>
      </w:r>
    </w:p>
    <w:p w14:paraId="3DE27294" w14:textId="609925AF" w:rsidR="003A5D40" w:rsidRPr="002849EB" w:rsidRDefault="00D306A1" w:rsidP="000056A8">
      <w:pPr>
        <w:pStyle w:val="ListParagraph"/>
        <w:numPr>
          <w:ilvl w:val="0"/>
          <w:numId w:val="1"/>
        </w:numPr>
      </w:pPr>
      <w:r w:rsidRPr="00A40239">
        <w:rPr>
          <w:b/>
          <w:bCs/>
        </w:rPr>
        <w:t>Create an operational definition for each theme</w:t>
      </w:r>
      <w:r w:rsidR="0080489B" w:rsidRPr="00A40239">
        <w:rPr>
          <w:b/>
          <w:bCs/>
        </w:rPr>
        <w:t>.</w:t>
      </w:r>
      <w:r w:rsidR="0080489B" w:rsidRPr="002849EB">
        <w:t xml:space="preserve"> T</w:t>
      </w:r>
      <w:r w:rsidR="00F53163" w:rsidRPr="002849EB">
        <w:t>aking each theme in turn</w:t>
      </w:r>
      <w:r w:rsidR="005E767C" w:rsidRPr="002849EB">
        <w:t xml:space="preserve">, </w:t>
      </w:r>
      <w:r w:rsidR="00113DB4" w:rsidRPr="002849EB">
        <w:t xml:space="preserve">discuss the </w:t>
      </w:r>
      <w:r w:rsidR="005E767C" w:rsidRPr="002849EB">
        <w:t>ideas and terms used</w:t>
      </w:r>
      <w:r w:rsidR="0080489B" w:rsidRPr="002849EB">
        <w:t xml:space="preserve"> and make sure </w:t>
      </w:r>
      <w:r w:rsidR="00FC72E1" w:rsidRPr="002849EB">
        <w:t xml:space="preserve">they are well-enough described/defined in the operational definition to support </w:t>
      </w:r>
      <w:r w:rsidR="00B708FA" w:rsidRPr="002849EB">
        <w:t xml:space="preserve">targeted action. </w:t>
      </w:r>
    </w:p>
    <w:p w14:paraId="576A7A35" w14:textId="48C60A27" w:rsidR="00290011" w:rsidRDefault="00FD2FFF" w:rsidP="008B3E45">
      <w:pPr>
        <w:pStyle w:val="ListParagraph"/>
        <w:numPr>
          <w:ilvl w:val="0"/>
          <w:numId w:val="1"/>
        </w:numPr>
      </w:pPr>
      <w:r w:rsidRPr="00F40651">
        <w:rPr>
          <w:b/>
          <w:bCs/>
        </w:rPr>
        <w:lastRenderedPageBreak/>
        <w:t>Agree what measure or measures will be used to track progress</w:t>
      </w:r>
      <w:r w:rsidR="00290011" w:rsidRPr="00F40651">
        <w:rPr>
          <w:b/>
          <w:bCs/>
        </w:rPr>
        <w:t>.</w:t>
      </w:r>
      <w:r w:rsidR="00290011">
        <w:t xml:space="preserve"> D</w:t>
      </w:r>
      <w:r w:rsidR="009B4BDC" w:rsidRPr="003974AE">
        <w:t xml:space="preserve">iscuss possible </w:t>
      </w:r>
      <w:r w:rsidR="00F40651">
        <w:t xml:space="preserve">measures that could be used to </w:t>
      </w:r>
      <w:r w:rsidR="009B4BDC" w:rsidRPr="003974AE">
        <w:t>track progress</w:t>
      </w:r>
      <w:r w:rsidR="00F40651">
        <w:t xml:space="preserve"> towards </w:t>
      </w:r>
      <w:r w:rsidR="00882E58">
        <w:t xml:space="preserve">each </w:t>
      </w:r>
      <w:r w:rsidR="000C73D1">
        <w:t xml:space="preserve">theme, based on its </w:t>
      </w:r>
      <w:r w:rsidR="00882E58">
        <w:t>operational definition</w:t>
      </w:r>
      <w:r w:rsidR="000C73D1">
        <w:t>,</w:t>
      </w:r>
      <w:r w:rsidR="00882E58">
        <w:t xml:space="preserve"> an</w:t>
      </w:r>
      <w:r w:rsidR="009B4BDC" w:rsidRPr="003974AE">
        <w:t xml:space="preserve">d select one </w:t>
      </w:r>
      <w:r w:rsidR="00290011">
        <w:t xml:space="preserve">that fits the project’s capacity and needs. </w:t>
      </w:r>
    </w:p>
    <w:p w14:paraId="4E089D61" w14:textId="77511406" w:rsidR="00FD2FFF" w:rsidRPr="000C73D1" w:rsidRDefault="009B4BDC" w:rsidP="008B3E45">
      <w:pPr>
        <w:pStyle w:val="ListParagraph"/>
        <w:numPr>
          <w:ilvl w:val="0"/>
          <w:numId w:val="1"/>
        </w:numPr>
      </w:pPr>
      <w:r w:rsidRPr="003974AE">
        <w:t xml:space="preserve"> </w:t>
      </w:r>
      <w:r w:rsidR="005A6A17" w:rsidRPr="005A6A17">
        <w:rPr>
          <w:b/>
          <w:bCs/>
        </w:rPr>
        <w:t xml:space="preserve">Establish the baseline value </w:t>
      </w:r>
      <w:r w:rsidR="000C73D1">
        <w:rPr>
          <w:b/>
          <w:bCs/>
        </w:rPr>
        <w:t xml:space="preserve">for </w:t>
      </w:r>
      <w:r w:rsidR="005A6A17" w:rsidRPr="005A6A17">
        <w:rPr>
          <w:b/>
          <w:bCs/>
        </w:rPr>
        <w:t>each measure</w:t>
      </w:r>
      <w:r w:rsidR="000C73D1">
        <w:rPr>
          <w:b/>
          <w:bCs/>
        </w:rPr>
        <w:t xml:space="preserve">. </w:t>
      </w:r>
      <w:r w:rsidR="000C73D1" w:rsidRPr="000C73D1">
        <w:t xml:space="preserve">Future measurements will be evaluated against this baseline. </w:t>
      </w:r>
    </w:p>
    <w:p w14:paraId="55F46AAC" w14:textId="0D4963BD" w:rsidR="00FB35F6" w:rsidRDefault="000C73D1" w:rsidP="008B3E45">
      <w:r w:rsidRPr="000C73D1">
        <w:t>If useful, lay out the results of this in a table (see the worked example below</w:t>
      </w:r>
      <w:r w:rsidR="000D62B6">
        <w:t>)</w:t>
      </w:r>
      <w:r w:rsidRPr="000C73D1">
        <w:t xml:space="preserve">. </w:t>
      </w:r>
      <w:r w:rsidR="00485BCC">
        <w:t xml:space="preserve"> </w:t>
      </w:r>
      <w:r w:rsidR="00FB35F6">
        <w:br w:type="page"/>
      </w:r>
    </w:p>
    <w:p w14:paraId="706C1E40" w14:textId="3658E12D" w:rsidR="00FB35F6" w:rsidRDefault="00FB35F6" w:rsidP="008B3E45">
      <w:pPr>
        <w:sectPr w:rsidR="00FB35F6">
          <w:headerReference w:type="default" r:id="rId7"/>
          <w:footerReference w:type="default" r:id="rId8"/>
          <w:pgSz w:w="11906" w:h="16838"/>
          <w:pgMar w:top="1440" w:right="1440" w:bottom="1440" w:left="1440" w:header="708" w:footer="708" w:gutter="0"/>
          <w:cols w:space="708"/>
          <w:docGrid w:linePitch="360"/>
        </w:sectPr>
      </w:pPr>
    </w:p>
    <w:p w14:paraId="1803FC1C" w14:textId="185B7A66" w:rsidR="000C73D1" w:rsidRDefault="000C73D1" w:rsidP="008B3E45">
      <w:r>
        <w:lastRenderedPageBreak/>
        <w:t xml:space="preserve">Example </w:t>
      </w:r>
      <w:r w:rsidR="00585D08">
        <w:t>output</w:t>
      </w:r>
      <w:r w:rsidR="000751E1">
        <w:t xml:space="preserve"> (from Jakob-Hoff et al. </w:t>
      </w:r>
      <w:r w:rsidR="0016225B">
        <w:t>2017)</w:t>
      </w:r>
    </w:p>
    <w:p w14:paraId="3BCADC24" w14:textId="6BEB7252" w:rsidR="00FB35F6" w:rsidRDefault="00FB35F6" w:rsidP="008B3E45">
      <w:r w:rsidRPr="00475D90">
        <w:rPr>
          <w:b/>
          <w:bCs/>
        </w:rPr>
        <w:t>Vision</w:t>
      </w:r>
      <w:r w:rsidR="00537CF1" w:rsidRPr="00475D90">
        <w:rPr>
          <w:b/>
          <w:bCs/>
        </w:rPr>
        <w:t>:</w:t>
      </w:r>
      <w:r w:rsidR="00537CF1" w:rsidRPr="009E46C9">
        <w:t xml:space="preserve"> It is 2025. The Bellinger River Snapping Turtle project is a model conservation program for supporting critically endangered native fauna, facilitated by multi-agency collaboration and community engagement. This program has ultimately led to river health restoration and a sustainable turtle population that is disease free.</w:t>
      </w:r>
    </w:p>
    <w:tbl>
      <w:tblPr>
        <w:tblStyle w:val="TableGrid"/>
        <w:tblW w:w="0" w:type="auto"/>
        <w:tblLook w:val="04A0" w:firstRow="1" w:lastRow="0" w:firstColumn="1" w:lastColumn="0" w:noHBand="0" w:noVBand="1"/>
      </w:tblPr>
      <w:tblGrid>
        <w:gridCol w:w="2405"/>
        <w:gridCol w:w="3686"/>
        <w:gridCol w:w="3969"/>
        <w:gridCol w:w="3888"/>
      </w:tblGrid>
      <w:tr w:rsidR="002617F3" w:rsidRPr="00585D08" w14:paraId="31E53C91" w14:textId="77777777" w:rsidTr="0078688D">
        <w:tc>
          <w:tcPr>
            <w:tcW w:w="2405" w:type="dxa"/>
            <w:shd w:val="clear" w:color="auto" w:fill="000000" w:themeFill="text1"/>
          </w:tcPr>
          <w:p w14:paraId="4D03FADB" w14:textId="10E3511B" w:rsidR="00FB35F6" w:rsidRPr="00585D08" w:rsidRDefault="002459CB" w:rsidP="008B3E45">
            <w:r w:rsidRPr="00585D08">
              <w:t>Vision theme</w:t>
            </w:r>
            <w:r w:rsidR="00097E21" w:rsidRPr="00585D08">
              <w:t>s</w:t>
            </w:r>
          </w:p>
        </w:tc>
        <w:tc>
          <w:tcPr>
            <w:tcW w:w="3686" w:type="dxa"/>
            <w:shd w:val="clear" w:color="auto" w:fill="000000" w:themeFill="text1"/>
          </w:tcPr>
          <w:p w14:paraId="2CBB7CA6" w14:textId="30CE1088" w:rsidR="00FB35F6" w:rsidRPr="00585D08" w:rsidRDefault="002459CB" w:rsidP="008B3E45">
            <w:r w:rsidRPr="00585D08">
              <w:t>Operational definition</w:t>
            </w:r>
          </w:p>
        </w:tc>
        <w:tc>
          <w:tcPr>
            <w:tcW w:w="3969" w:type="dxa"/>
            <w:shd w:val="clear" w:color="auto" w:fill="000000" w:themeFill="text1"/>
          </w:tcPr>
          <w:p w14:paraId="2FA9C505" w14:textId="3FA5BBF9" w:rsidR="00FB35F6" w:rsidRPr="00585D08" w:rsidRDefault="002F1224" w:rsidP="008B3E45">
            <w:r w:rsidRPr="00585D08">
              <w:t>Measure</w:t>
            </w:r>
          </w:p>
        </w:tc>
        <w:tc>
          <w:tcPr>
            <w:tcW w:w="3888" w:type="dxa"/>
            <w:shd w:val="clear" w:color="auto" w:fill="000000" w:themeFill="text1"/>
          </w:tcPr>
          <w:p w14:paraId="1EF82D0E" w14:textId="28D52D00" w:rsidR="00FB35F6" w:rsidRPr="00585D08" w:rsidRDefault="002F1224" w:rsidP="008B3E45">
            <w:r w:rsidRPr="00585D08">
              <w:t>Baseline</w:t>
            </w:r>
          </w:p>
        </w:tc>
      </w:tr>
      <w:tr w:rsidR="00FB35F6" w14:paraId="4097B7BF" w14:textId="77777777" w:rsidTr="009F0755">
        <w:tc>
          <w:tcPr>
            <w:tcW w:w="2405" w:type="dxa"/>
            <w:shd w:val="clear" w:color="auto" w:fill="F2F2F2" w:themeFill="background1" w:themeFillShade="F2"/>
          </w:tcPr>
          <w:p w14:paraId="42514F48" w14:textId="42395300" w:rsidR="00FB35F6" w:rsidRPr="00A216A2" w:rsidRDefault="005F23BA" w:rsidP="008B3E45">
            <w:r w:rsidRPr="00A216A2">
              <w:rPr>
                <w:lang w:val="en-NZ"/>
              </w:rPr>
              <w:t>M</w:t>
            </w:r>
            <w:r w:rsidR="00B91889" w:rsidRPr="00A216A2">
              <w:rPr>
                <w:lang w:val="en-NZ"/>
              </w:rPr>
              <w:t>ulti-agency collaboration</w:t>
            </w:r>
          </w:p>
        </w:tc>
        <w:tc>
          <w:tcPr>
            <w:tcW w:w="3686" w:type="dxa"/>
            <w:shd w:val="clear" w:color="auto" w:fill="auto"/>
          </w:tcPr>
          <w:p w14:paraId="445B575F" w14:textId="382655FC" w:rsidR="00FB35F6" w:rsidRDefault="002A692D" w:rsidP="008B3E45">
            <w:r w:rsidRPr="002A692D">
              <w:t>Multi-agency collaboration is in place and working positively for the program.</w:t>
            </w:r>
          </w:p>
        </w:tc>
        <w:tc>
          <w:tcPr>
            <w:tcW w:w="3969" w:type="dxa"/>
            <w:shd w:val="clear" w:color="auto" w:fill="auto"/>
          </w:tcPr>
          <w:p w14:paraId="7F33A5A9" w14:textId="58A5D90E" w:rsidR="00FB35F6" w:rsidRDefault="00276234" w:rsidP="008B3E45">
            <w:r w:rsidRPr="00276234">
              <w:t>OEH, Taronga, DPI and BSC have continued active involvement.</w:t>
            </w:r>
          </w:p>
        </w:tc>
        <w:tc>
          <w:tcPr>
            <w:tcW w:w="3888" w:type="dxa"/>
            <w:shd w:val="clear" w:color="auto" w:fill="auto"/>
          </w:tcPr>
          <w:p w14:paraId="7B672F8A" w14:textId="4838A599" w:rsidR="00FB35F6" w:rsidRDefault="008D2E85" w:rsidP="008B3E45">
            <w:r w:rsidRPr="008D2E85">
              <w:t>All 4 agencies currently involved actively.</w:t>
            </w:r>
          </w:p>
        </w:tc>
      </w:tr>
      <w:tr w:rsidR="00FB35F6" w14:paraId="2DC87CF8" w14:textId="77777777" w:rsidTr="009F0755">
        <w:tc>
          <w:tcPr>
            <w:tcW w:w="2405" w:type="dxa"/>
            <w:shd w:val="clear" w:color="auto" w:fill="F2F2F2" w:themeFill="background1" w:themeFillShade="F2"/>
          </w:tcPr>
          <w:p w14:paraId="1770E28C" w14:textId="457646D5" w:rsidR="00FB35F6" w:rsidRPr="00A216A2" w:rsidRDefault="005F23BA" w:rsidP="008B3E45">
            <w:r w:rsidRPr="00A216A2">
              <w:rPr>
                <w:lang w:val="en-NZ"/>
              </w:rPr>
              <w:t>C</w:t>
            </w:r>
            <w:r w:rsidR="00325896" w:rsidRPr="00A216A2">
              <w:rPr>
                <w:lang w:val="en-NZ"/>
              </w:rPr>
              <w:t>ommunity engagement</w:t>
            </w:r>
          </w:p>
        </w:tc>
        <w:tc>
          <w:tcPr>
            <w:tcW w:w="3686" w:type="dxa"/>
            <w:shd w:val="clear" w:color="auto" w:fill="auto"/>
          </w:tcPr>
          <w:p w14:paraId="60AFC543" w14:textId="72B74974" w:rsidR="00FB35F6" w:rsidRDefault="001532EC" w:rsidP="008B3E45">
            <w:r w:rsidRPr="001532EC">
              <w:t>The community supports the recovery program and is actively engaged in the long-term health of the Bellinger River system.</w:t>
            </w:r>
          </w:p>
        </w:tc>
        <w:tc>
          <w:tcPr>
            <w:tcW w:w="3969" w:type="dxa"/>
            <w:shd w:val="clear" w:color="auto" w:fill="auto"/>
          </w:tcPr>
          <w:p w14:paraId="522F8237" w14:textId="504D4F63" w:rsidR="00FB35F6" w:rsidRDefault="00276234" w:rsidP="008B3E45">
            <w:r w:rsidRPr="00276234">
              <w:t>Landholder involvement indicated by at least 15 km riparian zone rehabilitated by 2021 and by a citizen science project on river health including a minimum of 70 volunteers.</w:t>
            </w:r>
          </w:p>
        </w:tc>
        <w:tc>
          <w:tcPr>
            <w:tcW w:w="3888" w:type="dxa"/>
            <w:shd w:val="clear" w:color="auto" w:fill="auto"/>
          </w:tcPr>
          <w:p w14:paraId="03A360E2" w14:textId="6EFEDCFA" w:rsidR="00FB35F6" w:rsidRDefault="00676C17" w:rsidP="008B3E45">
            <w:r w:rsidRPr="00676C17">
              <w:t>Framework for discussions with landholders in place. No Citizen Science project underway.</w:t>
            </w:r>
          </w:p>
        </w:tc>
      </w:tr>
      <w:tr w:rsidR="00FB35F6" w14:paraId="24EBEEB1" w14:textId="77777777" w:rsidTr="009F0755">
        <w:trPr>
          <w:trHeight w:val="780"/>
        </w:trPr>
        <w:tc>
          <w:tcPr>
            <w:tcW w:w="2405" w:type="dxa"/>
            <w:shd w:val="clear" w:color="auto" w:fill="F2F2F2" w:themeFill="background1" w:themeFillShade="F2"/>
          </w:tcPr>
          <w:p w14:paraId="7F6EF8C7" w14:textId="70F8BE97" w:rsidR="00FB35F6" w:rsidRPr="00A216A2" w:rsidRDefault="00513A65" w:rsidP="008B3E45">
            <w:r w:rsidRPr="00A216A2">
              <w:t>R</w:t>
            </w:r>
            <w:r w:rsidR="00BA79DB" w:rsidRPr="00A216A2">
              <w:t>iver health restoration and a sustainable turtle population</w:t>
            </w:r>
          </w:p>
        </w:tc>
        <w:tc>
          <w:tcPr>
            <w:tcW w:w="3686" w:type="dxa"/>
            <w:shd w:val="clear" w:color="auto" w:fill="auto"/>
          </w:tcPr>
          <w:p w14:paraId="2E06E70F" w14:textId="77777777" w:rsidR="00C438FA" w:rsidRPr="00C438FA" w:rsidRDefault="00C438FA" w:rsidP="008B3E45">
            <w:r w:rsidRPr="00C438FA">
              <w:rPr>
                <w:i/>
                <w:iCs/>
              </w:rPr>
              <w:t>Emydura macquarii</w:t>
            </w:r>
            <w:r w:rsidRPr="00C438FA">
              <w:t xml:space="preserve"> does not pose a threat to the species in the wild. </w:t>
            </w:r>
          </w:p>
          <w:p w14:paraId="5F4ADD75" w14:textId="270C22BB" w:rsidR="00FB35F6" w:rsidRDefault="00FB35F6" w:rsidP="008B3E45"/>
        </w:tc>
        <w:tc>
          <w:tcPr>
            <w:tcW w:w="3969" w:type="dxa"/>
            <w:shd w:val="clear" w:color="auto" w:fill="auto"/>
          </w:tcPr>
          <w:p w14:paraId="561EB263" w14:textId="1DFFE708" w:rsidR="00FB35F6" w:rsidRDefault="003F2ED1" w:rsidP="008B3E45">
            <w:r w:rsidRPr="003F2ED1">
              <w:t xml:space="preserve">EITHER absence of </w:t>
            </w:r>
            <w:r w:rsidRPr="003F2ED1">
              <w:rPr>
                <w:i/>
                <w:iCs/>
              </w:rPr>
              <w:t>E. macquarii</w:t>
            </w:r>
            <w:r w:rsidRPr="003F2ED1">
              <w:t xml:space="preserve"> OR control methods that ensure hybridisation threat is eliminated.</w:t>
            </w:r>
          </w:p>
        </w:tc>
        <w:tc>
          <w:tcPr>
            <w:tcW w:w="3888" w:type="dxa"/>
            <w:shd w:val="clear" w:color="auto" w:fill="auto"/>
          </w:tcPr>
          <w:p w14:paraId="1F169F78" w14:textId="77777777" w:rsidR="00FB35F6" w:rsidRDefault="00F30C00" w:rsidP="008B3E45">
            <w:r w:rsidRPr="005E1ED7">
              <w:rPr>
                <w:i/>
                <w:iCs/>
              </w:rPr>
              <w:t>E. macquarii</w:t>
            </w:r>
            <w:r w:rsidRPr="00F30C00">
              <w:t xml:space="preserve"> present. No control measures in place or tested.</w:t>
            </w:r>
          </w:p>
          <w:p w14:paraId="72AE547B" w14:textId="717B9E86" w:rsidR="00F30C00" w:rsidRDefault="00F30C00" w:rsidP="008B3E45"/>
        </w:tc>
      </w:tr>
      <w:tr w:rsidR="00033169" w14:paraId="3605903B" w14:textId="77777777" w:rsidTr="009F0755">
        <w:tc>
          <w:tcPr>
            <w:tcW w:w="2405" w:type="dxa"/>
            <w:shd w:val="clear" w:color="auto" w:fill="F2F2F2" w:themeFill="background1" w:themeFillShade="F2"/>
          </w:tcPr>
          <w:p w14:paraId="275D1037" w14:textId="77777777" w:rsidR="00033169" w:rsidRPr="00A216A2" w:rsidRDefault="00033169" w:rsidP="008B3E45"/>
        </w:tc>
        <w:tc>
          <w:tcPr>
            <w:tcW w:w="3686" w:type="dxa"/>
            <w:shd w:val="clear" w:color="auto" w:fill="auto"/>
          </w:tcPr>
          <w:p w14:paraId="3843DB15" w14:textId="6CA1C644" w:rsidR="00033169" w:rsidRPr="00C438FA" w:rsidRDefault="001A170D" w:rsidP="008B3E45">
            <w:r w:rsidRPr="00C438FA">
              <w:t xml:space="preserve">The species is abundant in the Bellinger River. </w:t>
            </w:r>
          </w:p>
        </w:tc>
        <w:tc>
          <w:tcPr>
            <w:tcW w:w="3969" w:type="dxa"/>
            <w:shd w:val="clear" w:color="auto" w:fill="auto"/>
          </w:tcPr>
          <w:p w14:paraId="1E388AF3" w14:textId="5D0E07B4" w:rsidR="00033169" w:rsidRPr="003F2ED1" w:rsidRDefault="00C04CF3" w:rsidP="008B3E45">
            <w:r w:rsidRPr="003F2ED1">
              <w:t>The adult population is at least 150 by 2030.</w:t>
            </w:r>
          </w:p>
        </w:tc>
        <w:tc>
          <w:tcPr>
            <w:tcW w:w="3888" w:type="dxa"/>
            <w:shd w:val="clear" w:color="auto" w:fill="auto"/>
          </w:tcPr>
          <w:p w14:paraId="7A374957" w14:textId="58B35996" w:rsidR="00033169" w:rsidRPr="00F30C00" w:rsidRDefault="00C04CF3" w:rsidP="008B3E45">
            <w:r w:rsidRPr="00235F3E">
              <w:rPr>
                <w:lang w:val="en-NZ"/>
              </w:rPr>
              <w:t xml:space="preserve">Adult population in river = zero;  ≈ 300 juveniles present. </w:t>
            </w:r>
          </w:p>
        </w:tc>
      </w:tr>
      <w:tr w:rsidR="00033169" w14:paraId="0CE55858" w14:textId="77777777" w:rsidTr="009F0755">
        <w:tc>
          <w:tcPr>
            <w:tcW w:w="2405" w:type="dxa"/>
            <w:shd w:val="clear" w:color="auto" w:fill="F2F2F2" w:themeFill="background1" w:themeFillShade="F2"/>
          </w:tcPr>
          <w:p w14:paraId="20DD4D7A" w14:textId="77777777" w:rsidR="00033169" w:rsidRPr="00A216A2" w:rsidRDefault="00033169" w:rsidP="008B3E45"/>
        </w:tc>
        <w:tc>
          <w:tcPr>
            <w:tcW w:w="3686" w:type="dxa"/>
            <w:shd w:val="clear" w:color="auto" w:fill="auto"/>
          </w:tcPr>
          <w:p w14:paraId="64F2141D" w14:textId="179D386D" w:rsidR="00033169" w:rsidRPr="00C438FA" w:rsidRDefault="001A170D" w:rsidP="008B3E45">
            <w:r w:rsidRPr="00C438FA">
              <w:t>Restoration of the species and its ecosystem are sufficient for ongoing resistance to known threats.</w:t>
            </w:r>
          </w:p>
        </w:tc>
        <w:tc>
          <w:tcPr>
            <w:tcW w:w="3969" w:type="dxa"/>
            <w:shd w:val="clear" w:color="auto" w:fill="auto"/>
          </w:tcPr>
          <w:p w14:paraId="35FA91B9" w14:textId="3CE70608" w:rsidR="00033169" w:rsidRPr="003F2ED1" w:rsidRDefault="00C04CF3" w:rsidP="008B3E45">
            <w:r w:rsidRPr="003F2ED1">
              <w:t xml:space="preserve">Stability of population size over time and strong rate of recovery following stochastic events.    </w:t>
            </w:r>
          </w:p>
        </w:tc>
        <w:tc>
          <w:tcPr>
            <w:tcW w:w="3888" w:type="dxa"/>
            <w:shd w:val="clear" w:color="auto" w:fill="auto"/>
          </w:tcPr>
          <w:p w14:paraId="68B54357" w14:textId="5797DFB8" w:rsidR="00033169" w:rsidRPr="00F30C00" w:rsidRDefault="00C04CF3" w:rsidP="008B3E45">
            <w:r w:rsidRPr="000B0757">
              <w:rPr>
                <w:lang w:val="en-NZ"/>
              </w:rPr>
              <w:t xml:space="preserve">Recently unstable. Monitoring in place. </w:t>
            </w:r>
          </w:p>
        </w:tc>
      </w:tr>
      <w:tr w:rsidR="00FB35F6" w14:paraId="3BB6B9C4" w14:textId="77777777" w:rsidTr="009F0755">
        <w:tc>
          <w:tcPr>
            <w:tcW w:w="2405" w:type="dxa"/>
            <w:shd w:val="clear" w:color="auto" w:fill="F2F2F2" w:themeFill="background1" w:themeFillShade="F2"/>
          </w:tcPr>
          <w:p w14:paraId="0A30C775" w14:textId="485B546D" w:rsidR="00FB35F6" w:rsidRPr="00A216A2" w:rsidRDefault="00513A65" w:rsidP="008B3E45">
            <w:r w:rsidRPr="00A216A2">
              <w:t>A</w:t>
            </w:r>
            <w:r w:rsidR="00BA79DB" w:rsidRPr="00A216A2">
              <w:t xml:space="preserve"> population</w:t>
            </w:r>
            <w:r w:rsidR="0059735C" w:rsidRPr="00A216A2">
              <w:t xml:space="preserve"> that is disease free</w:t>
            </w:r>
          </w:p>
        </w:tc>
        <w:tc>
          <w:tcPr>
            <w:tcW w:w="3686" w:type="dxa"/>
            <w:shd w:val="clear" w:color="auto" w:fill="auto"/>
          </w:tcPr>
          <w:p w14:paraId="0C608E1A" w14:textId="4766E7A4" w:rsidR="00FB35F6" w:rsidRDefault="004407AF" w:rsidP="008B3E45">
            <w:r w:rsidRPr="004407AF">
              <w:t>Bellinger River Virus does not pose a threat to the species in the wild.</w:t>
            </w:r>
          </w:p>
        </w:tc>
        <w:tc>
          <w:tcPr>
            <w:tcW w:w="3969" w:type="dxa"/>
            <w:shd w:val="clear" w:color="auto" w:fill="auto"/>
          </w:tcPr>
          <w:p w14:paraId="6F383091" w14:textId="0A3740D4" w:rsidR="00FB35F6" w:rsidRDefault="002A692D" w:rsidP="008B3E45">
            <w:r w:rsidRPr="002A692D">
              <w:t>EITHER absence of virus (not detectable via testing), OR immunity or protection provided to the species (by vaccine or otherwise).</w:t>
            </w:r>
          </w:p>
        </w:tc>
        <w:tc>
          <w:tcPr>
            <w:tcW w:w="3888" w:type="dxa"/>
            <w:shd w:val="clear" w:color="auto" w:fill="auto"/>
          </w:tcPr>
          <w:p w14:paraId="59AC228F" w14:textId="27C6C28B" w:rsidR="00FB35F6" w:rsidRDefault="00A368F0" w:rsidP="008B3E45">
            <w:r w:rsidRPr="00A368F0">
              <w:t>Absence of virus not confirmed. No vaccine or other form of protection available or observed.</w:t>
            </w:r>
          </w:p>
        </w:tc>
      </w:tr>
    </w:tbl>
    <w:p w14:paraId="75225971" w14:textId="77777777" w:rsidR="00FB35F6" w:rsidRDefault="00FB35F6" w:rsidP="008B3E45"/>
    <w:sectPr w:rsidR="00FB35F6" w:rsidSect="00FB35F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31D7C" w14:textId="77777777" w:rsidR="00AF6091" w:rsidRDefault="00AF6091" w:rsidP="008B3E45">
      <w:r>
        <w:separator/>
      </w:r>
    </w:p>
  </w:endnote>
  <w:endnote w:type="continuationSeparator" w:id="0">
    <w:p w14:paraId="63F816A8" w14:textId="77777777" w:rsidR="00AF6091" w:rsidRDefault="00AF6091" w:rsidP="008B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544817"/>
      <w:docPartObj>
        <w:docPartGallery w:val="Page Numbers (Bottom of Page)"/>
        <w:docPartUnique/>
      </w:docPartObj>
    </w:sdtPr>
    <w:sdtEndPr>
      <w:rPr>
        <w:noProof/>
      </w:rPr>
    </w:sdtEndPr>
    <w:sdtContent>
      <w:p w14:paraId="3159E62A" w14:textId="53B039E5" w:rsidR="00DE04EA" w:rsidRDefault="00DE04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8390B2" w14:textId="77777777" w:rsidR="005D4BEE" w:rsidRDefault="005D4BEE" w:rsidP="008B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5964" w14:textId="77777777" w:rsidR="00AF6091" w:rsidRDefault="00AF6091" w:rsidP="008B3E45">
      <w:r>
        <w:separator/>
      </w:r>
    </w:p>
  </w:footnote>
  <w:footnote w:type="continuationSeparator" w:id="0">
    <w:p w14:paraId="372C08C3" w14:textId="77777777" w:rsidR="00AF6091" w:rsidRDefault="00AF6091" w:rsidP="008B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6192A" w14:textId="37149ED6" w:rsidR="00D92F59" w:rsidRDefault="007F0F40" w:rsidP="008B3E45">
    <w:pPr>
      <w:pStyle w:val="Header"/>
    </w:pPr>
    <w:r>
      <w:rPr>
        <w:noProof/>
      </w:rPr>
      <w:drawing>
        <wp:anchor distT="0" distB="0" distL="114300" distR="114300" simplePos="0" relativeHeight="251659264" behindDoc="0" locked="0" layoutInCell="1" allowOverlap="1" wp14:anchorId="2D1E37A8" wp14:editId="74178417">
          <wp:simplePos x="0" y="0"/>
          <wp:positionH relativeFrom="column">
            <wp:posOffset>3750303</wp:posOffset>
          </wp:positionH>
          <wp:positionV relativeFrom="paragraph">
            <wp:posOffset>-316865</wp:posOffset>
          </wp:positionV>
          <wp:extent cx="2748372" cy="772757"/>
          <wp:effectExtent l="0" t="0" r="0" b="8890"/>
          <wp:wrapNone/>
          <wp:docPr id="2103348640"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48640"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8372" cy="772757"/>
                  </a:xfrm>
                  <a:prstGeom prst="rect">
                    <a:avLst/>
                  </a:prstGeom>
                </pic:spPr>
              </pic:pic>
            </a:graphicData>
          </a:graphic>
          <wp14:sizeRelH relativeFrom="page">
            <wp14:pctWidth>0</wp14:pctWidth>
          </wp14:sizeRelH>
          <wp14:sizeRelV relativeFrom="page">
            <wp14:pctHeight>0</wp14:pctHeight>
          </wp14:sizeRelV>
        </wp:anchor>
      </w:drawing>
    </w:r>
  </w:p>
  <w:p w14:paraId="395CA57A" w14:textId="1A7B2779" w:rsidR="00D92F59" w:rsidRDefault="00D92F59" w:rsidP="008B3E45">
    <w:pPr>
      <w:pStyle w:val="Header"/>
    </w:pPr>
    <w:r>
      <w:t>IUCN SSC CPSG Tools Library: - www.cpsg.org</w:t>
    </w:r>
  </w:p>
  <w:p w14:paraId="18DB3378" w14:textId="77777777" w:rsidR="00D92F59" w:rsidRDefault="00D92F59" w:rsidP="008B3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57D2E"/>
    <w:multiLevelType w:val="hybridMultilevel"/>
    <w:tmpl w:val="3F701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FDF5B69"/>
    <w:multiLevelType w:val="hybridMultilevel"/>
    <w:tmpl w:val="0358B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98544">
    <w:abstractNumId w:val="1"/>
  </w:num>
  <w:num w:numId="2" w16cid:durableId="129587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6"/>
    <w:rsid w:val="00022B66"/>
    <w:rsid w:val="00033169"/>
    <w:rsid w:val="0005308C"/>
    <w:rsid w:val="000751E1"/>
    <w:rsid w:val="00080763"/>
    <w:rsid w:val="00097E21"/>
    <w:rsid w:val="000A5A2D"/>
    <w:rsid w:val="000B0757"/>
    <w:rsid w:val="000C73D1"/>
    <w:rsid w:val="000D5AEB"/>
    <w:rsid w:val="000D62B6"/>
    <w:rsid w:val="001026D4"/>
    <w:rsid w:val="00113DB4"/>
    <w:rsid w:val="001242B6"/>
    <w:rsid w:val="001532EC"/>
    <w:rsid w:val="00153435"/>
    <w:rsid w:val="00155459"/>
    <w:rsid w:val="00156885"/>
    <w:rsid w:val="0016225B"/>
    <w:rsid w:val="00164160"/>
    <w:rsid w:val="00176E82"/>
    <w:rsid w:val="001A170D"/>
    <w:rsid w:val="001C20F5"/>
    <w:rsid w:val="001C5622"/>
    <w:rsid w:val="001E26C3"/>
    <w:rsid w:val="002122FA"/>
    <w:rsid w:val="00235F3E"/>
    <w:rsid w:val="002459CB"/>
    <w:rsid w:val="002617F3"/>
    <w:rsid w:val="00276234"/>
    <w:rsid w:val="002849EB"/>
    <w:rsid w:val="00284D06"/>
    <w:rsid w:val="00290011"/>
    <w:rsid w:val="002A692D"/>
    <w:rsid w:val="002D6E0B"/>
    <w:rsid w:val="002F1224"/>
    <w:rsid w:val="00312A4D"/>
    <w:rsid w:val="00325896"/>
    <w:rsid w:val="00364E38"/>
    <w:rsid w:val="003974AE"/>
    <w:rsid w:val="003A5060"/>
    <w:rsid w:val="003A5D40"/>
    <w:rsid w:val="003B6FB1"/>
    <w:rsid w:val="003C7DCF"/>
    <w:rsid w:val="003F0589"/>
    <w:rsid w:val="003F164F"/>
    <w:rsid w:val="003F2ED1"/>
    <w:rsid w:val="004407AF"/>
    <w:rsid w:val="004440CE"/>
    <w:rsid w:val="00457D61"/>
    <w:rsid w:val="00470B6D"/>
    <w:rsid w:val="00475D90"/>
    <w:rsid w:val="004802BD"/>
    <w:rsid w:val="00485BCC"/>
    <w:rsid w:val="004D627B"/>
    <w:rsid w:val="00513A65"/>
    <w:rsid w:val="00537CF1"/>
    <w:rsid w:val="00553A18"/>
    <w:rsid w:val="00573B08"/>
    <w:rsid w:val="00585D08"/>
    <w:rsid w:val="0059735C"/>
    <w:rsid w:val="005A1307"/>
    <w:rsid w:val="005A48A2"/>
    <w:rsid w:val="005A6A17"/>
    <w:rsid w:val="005B29DE"/>
    <w:rsid w:val="005C5990"/>
    <w:rsid w:val="005D4BEE"/>
    <w:rsid w:val="005E1ED7"/>
    <w:rsid w:val="005E767C"/>
    <w:rsid w:val="005F23BA"/>
    <w:rsid w:val="00616E8D"/>
    <w:rsid w:val="00617877"/>
    <w:rsid w:val="00676C17"/>
    <w:rsid w:val="0069046F"/>
    <w:rsid w:val="006A6432"/>
    <w:rsid w:val="006F5E5C"/>
    <w:rsid w:val="00712D4E"/>
    <w:rsid w:val="00717CC5"/>
    <w:rsid w:val="00760118"/>
    <w:rsid w:val="0078688D"/>
    <w:rsid w:val="00795949"/>
    <w:rsid w:val="007A76E8"/>
    <w:rsid w:val="007F0F40"/>
    <w:rsid w:val="007F13DD"/>
    <w:rsid w:val="0080489B"/>
    <w:rsid w:val="00804D04"/>
    <w:rsid w:val="00872EA7"/>
    <w:rsid w:val="00882E58"/>
    <w:rsid w:val="00891164"/>
    <w:rsid w:val="008B3E45"/>
    <w:rsid w:val="008C4A69"/>
    <w:rsid w:val="008D191E"/>
    <w:rsid w:val="008D2E85"/>
    <w:rsid w:val="008E24E5"/>
    <w:rsid w:val="00912A01"/>
    <w:rsid w:val="00913B6A"/>
    <w:rsid w:val="00914B15"/>
    <w:rsid w:val="00927A19"/>
    <w:rsid w:val="009B0D89"/>
    <w:rsid w:val="009B4BDC"/>
    <w:rsid w:val="009E46C9"/>
    <w:rsid w:val="009F0755"/>
    <w:rsid w:val="00A055E3"/>
    <w:rsid w:val="00A216A2"/>
    <w:rsid w:val="00A346EA"/>
    <w:rsid w:val="00A347E0"/>
    <w:rsid w:val="00A368F0"/>
    <w:rsid w:val="00A40239"/>
    <w:rsid w:val="00A7409E"/>
    <w:rsid w:val="00A93112"/>
    <w:rsid w:val="00AB3E64"/>
    <w:rsid w:val="00AF6091"/>
    <w:rsid w:val="00B6685A"/>
    <w:rsid w:val="00B708FA"/>
    <w:rsid w:val="00B74349"/>
    <w:rsid w:val="00B817EB"/>
    <w:rsid w:val="00B91889"/>
    <w:rsid w:val="00BA79DB"/>
    <w:rsid w:val="00BB6C3B"/>
    <w:rsid w:val="00BC6AA3"/>
    <w:rsid w:val="00BE009B"/>
    <w:rsid w:val="00BE3847"/>
    <w:rsid w:val="00C0039E"/>
    <w:rsid w:val="00C035EA"/>
    <w:rsid w:val="00C04CF3"/>
    <w:rsid w:val="00C1282D"/>
    <w:rsid w:val="00C438FA"/>
    <w:rsid w:val="00D16AE2"/>
    <w:rsid w:val="00D306A1"/>
    <w:rsid w:val="00D7458F"/>
    <w:rsid w:val="00D92F59"/>
    <w:rsid w:val="00DB60A8"/>
    <w:rsid w:val="00DD3A9B"/>
    <w:rsid w:val="00DE04EA"/>
    <w:rsid w:val="00E2453A"/>
    <w:rsid w:val="00E26D13"/>
    <w:rsid w:val="00E46493"/>
    <w:rsid w:val="00E91E75"/>
    <w:rsid w:val="00ED3FF8"/>
    <w:rsid w:val="00EE33C5"/>
    <w:rsid w:val="00EF3DCA"/>
    <w:rsid w:val="00F015B5"/>
    <w:rsid w:val="00F03F2F"/>
    <w:rsid w:val="00F10B50"/>
    <w:rsid w:val="00F14A2B"/>
    <w:rsid w:val="00F30C00"/>
    <w:rsid w:val="00F40651"/>
    <w:rsid w:val="00F45CE1"/>
    <w:rsid w:val="00F53163"/>
    <w:rsid w:val="00F554C2"/>
    <w:rsid w:val="00F72EDE"/>
    <w:rsid w:val="00F97658"/>
    <w:rsid w:val="00FB35F6"/>
    <w:rsid w:val="00FC00B1"/>
    <w:rsid w:val="00FC72E1"/>
    <w:rsid w:val="00FD2FFF"/>
    <w:rsid w:val="00FE0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6211"/>
  <w15:chartTrackingRefBased/>
  <w15:docId w15:val="{4FFA5A01-94E8-4DAC-8AF5-C7C8F0B4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45"/>
    <w:pPr>
      <w:spacing w:after="0" w:line="240" w:lineRule="auto"/>
    </w:pPr>
    <w:rPr>
      <w:rFonts w:eastAsia="Times New Roman" w:cs="Times New Roman"/>
      <w:kern w:val="0"/>
      <w:lang w:val="en-US" w:eastAsia="en-NZ"/>
      <w14:ligatures w14:val="none"/>
    </w:rPr>
  </w:style>
  <w:style w:type="paragraph" w:styleId="Heading1">
    <w:name w:val="heading 1"/>
    <w:basedOn w:val="Normal"/>
    <w:next w:val="Normal"/>
    <w:link w:val="Heading1Char"/>
    <w:uiPriority w:val="9"/>
    <w:qFormat/>
    <w:rsid w:val="008B3E45"/>
    <w:pPr>
      <w:keepNext/>
      <w:keepLines/>
      <w:spacing w:before="360" w:after="80" w:line="259" w:lineRule="auto"/>
      <w:outlineLvl w:val="0"/>
    </w:pPr>
    <w:rPr>
      <w:rFonts w:asciiTheme="majorHAnsi" w:eastAsiaTheme="majorEastAsia" w:hAnsiTheme="majorHAnsi" w:cstheme="majorBidi"/>
      <w:color w:val="000000" w:themeColor="text1"/>
      <w:kern w:val="2"/>
      <w:sz w:val="32"/>
      <w:szCs w:val="32"/>
      <w:lang w:val="en-GB" w:eastAsia="en-US"/>
      <w14:ligatures w14:val="standardContextual"/>
    </w:rPr>
  </w:style>
  <w:style w:type="paragraph" w:styleId="Heading2">
    <w:name w:val="heading 2"/>
    <w:basedOn w:val="Normal"/>
    <w:next w:val="Normal"/>
    <w:link w:val="Heading2Char"/>
    <w:uiPriority w:val="9"/>
    <w:semiHidden/>
    <w:unhideWhenUsed/>
    <w:qFormat/>
    <w:rsid w:val="007F0F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7F0F40"/>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7F0F40"/>
    <w:pPr>
      <w:keepNext/>
      <w:keepLines/>
      <w:spacing w:before="80" w:after="40" w:line="259" w:lineRule="auto"/>
      <w:outlineLvl w:val="3"/>
    </w:pPr>
    <w:rPr>
      <w:rFonts w:eastAsiaTheme="majorEastAsia"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7F0F40"/>
    <w:pPr>
      <w:keepNext/>
      <w:keepLines/>
      <w:spacing w:before="80" w:after="40" w:line="259" w:lineRule="auto"/>
      <w:outlineLvl w:val="4"/>
    </w:pPr>
    <w:rPr>
      <w:rFonts w:eastAsiaTheme="majorEastAsia"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7F0F40"/>
    <w:pPr>
      <w:keepNext/>
      <w:keepLines/>
      <w:spacing w:before="40" w:line="259" w:lineRule="auto"/>
      <w:outlineLvl w:val="5"/>
    </w:pPr>
    <w:rPr>
      <w:rFonts w:eastAsiaTheme="majorEastAsia"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7F0F40"/>
    <w:pPr>
      <w:keepNext/>
      <w:keepLines/>
      <w:spacing w:before="40" w:line="259" w:lineRule="auto"/>
      <w:outlineLvl w:val="6"/>
    </w:pPr>
    <w:rPr>
      <w:rFonts w:eastAsiaTheme="majorEastAsia"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7F0F40"/>
    <w:pPr>
      <w:keepNext/>
      <w:keepLines/>
      <w:spacing w:line="259" w:lineRule="auto"/>
      <w:outlineLvl w:val="7"/>
    </w:pPr>
    <w:rPr>
      <w:rFonts w:eastAsiaTheme="majorEastAsia"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7F0F40"/>
    <w:pPr>
      <w:keepNext/>
      <w:keepLines/>
      <w:spacing w:line="259" w:lineRule="auto"/>
      <w:outlineLvl w:val="8"/>
    </w:pPr>
    <w:rPr>
      <w:rFonts w:eastAsiaTheme="majorEastAsia"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4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F0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40"/>
    <w:rPr>
      <w:rFonts w:eastAsiaTheme="majorEastAsia" w:cstheme="majorBidi"/>
      <w:color w:val="272727" w:themeColor="text1" w:themeTint="D8"/>
    </w:rPr>
  </w:style>
  <w:style w:type="paragraph" w:styleId="Title">
    <w:name w:val="Title"/>
    <w:basedOn w:val="Normal"/>
    <w:next w:val="Normal"/>
    <w:link w:val="TitleChar"/>
    <w:uiPriority w:val="10"/>
    <w:qFormat/>
    <w:rsid w:val="007F0F40"/>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7F0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40"/>
    <w:pPr>
      <w:numPr>
        <w:ilvl w:val="1"/>
      </w:numPr>
      <w:spacing w:after="160"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7F0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40"/>
    <w:pPr>
      <w:spacing w:before="160" w:after="160" w:line="259" w:lineRule="auto"/>
      <w:jc w:val="center"/>
    </w:pPr>
    <w:rPr>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7F0F40"/>
    <w:rPr>
      <w:i/>
      <w:iCs/>
      <w:color w:val="404040" w:themeColor="text1" w:themeTint="BF"/>
    </w:rPr>
  </w:style>
  <w:style w:type="paragraph" w:styleId="ListParagraph">
    <w:name w:val="List Paragraph"/>
    <w:basedOn w:val="Normal"/>
    <w:uiPriority w:val="34"/>
    <w:qFormat/>
    <w:rsid w:val="007F0F40"/>
    <w:pPr>
      <w:spacing w:after="160" w:line="259" w:lineRule="auto"/>
      <w:ind w:left="720"/>
      <w:contextualSpacing/>
    </w:pPr>
    <w:rPr>
      <w:kern w:val="2"/>
      <w:lang w:val="en-GB" w:eastAsia="en-US"/>
      <w14:ligatures w14:val="standardContextual"/>
    </w:rPr>
  </w:style>
  <w:style w:type="character" w:styleId="IntenseEmphasis">
    <w:name w:val="Intense Emphasis"/>
    <w:basedOn w:val="DefaultParagraphFont"/>
    <w:uiPriority w:val="21"/>
    <w:qFormat/>
    <w:rsid w:val="007F0F40"/>
    <w:rPr>
      <w:i/>
      <w:iCs/>
      <w:color w:val="0F4761" w:themeColor="accent1" w:themeShade="BF"/>
    </w:rPr>
  </w:style>
  <w:style w:type="paragraph" w:styleId="IntenseQuote">
    <w:name w:val="Intense Quote"/>
    <w:basedOn w:val="Normal"/>
    <w:next w:val="Normal"/>
    <w:link w:val="IntenseQuoteChar"/>
    <w:uiPriority w:val="30"/>
    <w:qFormat/>
    <w:rsid w:val="007F0F4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7F0F40"/>
    <w:rPr>
      <w:i/>
      <w:iCs/>
      <w:color w:val="0F4761" w:themeColor="accent1" w:themeShade="BF"/>
    </w:rPr>
  </w:style>
  <w:style w:type="character" w:styleId="IntenseReference">
    <w:name w:val="Intense Reference"/>
    <w:basedOn w:val="DefaultParagraphFont"/>
    <w:uiPriority w:val="32"/>
    <w:qFormat/>
    <w:rsid w:val="007F0F40"/>
    <w:rPr>
      <w:b/>
      <w:bCs/>
      <w:smallCaps/>
      <w:color w:val="0F4761" w:themeColor="accent1" w:themeShade="BF"/>
      <w:spacing w:val="5"/>
    </w:rPr>
  </w:style>
  <w:style w:type="table" w:styleId="TableGrid">
    <w:name w:val="Table Grid"/>
    <w:basedOn w:val="TableNormal"/>
    <w:uiPriority w:val="39"/>
    <w:rsid w:val="00FB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4BEE"/>
    <w:pPr>
      <w:tabs>
        <w:tab w:val="center" w:pos="4513"/>
        <w:tab w:val="right" w:pos="9026"/>
      </w:tabs>
    </w:pPr>
  </w:style>
  <w:style w:type="character" w:customStyle="1" w:styleId="HeaderChar">
    <w:name w:val="Header Char"/>
    <w:basedOn w:val="DefaultParagraphFont"/>
    <w:link w:val="Header"/>
    <w:uiPriority w:val="99"/>
    <w:rsid w:val="005D4BEE"/>
  </w:style>
  <w:style w:type="paragraph" w:styleId="Footer">
    <w:name w:val="footer"/>
    <w:basedOn w:val="Normal"/>
    <w:link w:val="FooterChar"/>
    <w:uiPriority w:val="99"/>
    <w:unhideWhenUsed/>
    <w:rsid w:val="005D4BEE"/>
    <w:pPr>
      <w:tabs>
        <w:tab w:val="center" w:pos="4513"/>
        <w:tab w:val="right" w:pos="9026"/>
      </w:tabs>
    </w:pPr>
  </w:style>
  <w:style w:type="character" w:customStyle="1" w:styleId="FooterChar">
    <w:name w:val="Footer Char"/>
    <w:basedOn w:val="DefaultParagraphFont"/>
    <w:link w:val="Footer"/>
    <w:uiPriority w:val="99"/>
    <w:rsid w:val="005D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67444">
      <w:bodyDiv w:val="1"/>
      <w:marLeft w:val="0"/>
      <w:marRight w:val="0"/>
      <w:marTop w:val="0"/>
      <w:marBottom w:val="0"/>
      <w:divBdr>
        <w:top w:val="none" w:sz="0" w:space="0" w:color="auto"/>
        <w:left w:val="none" w:sz="0" w:space="0" w:color="auto"/>
        <w:bottom w:val="none" w:sz="0" w:space="0" w:color="auto"/>
        <w:right w:val="none" w:sz="0" w:space="0" w:color="auto"/>
      </w:divBdr>
    </w:div>
    <w:div w:id="1853252074">
      <w:bodyDiv w:val="1"/>
      <w:marLeft w:val="0"/>
      <w:marRight w:val="0"/>
      <w:marTop w:val="0"/>
      <w:marBottom w:val="0"/>
      <w:divBdr>
        <w:top w:val="none" w:sz="0" w:space="0" w:color="auto"/>
        <w:left w:val="none" w:sz="0" w:space="0" w:color="auto"/>
        <w:bottom w:val="none" w:sz="0" w:space="0" w:color="auto"/>
        <w:right w:val="none" w:sz="0" w:space="0" w:color="auto"/>
      </w:divBdr>
    </w:div>
    <w:div w:id="214068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Lees</dc:creator>
  <cp:keywords/>
  <dc:description/>
  <cp:lastModifiedBy>Caroline Lees</cp:lastModifiedBy>
  <cp:revision>148</cp:revision>
  <dcterms:created xsi:type="dcterms:W3CDTF">2024-06-12T02:30:00Z</dcterms:created>
  <dcterms:modified xsi:type="dcterms:W3CDTF">2024-10-01T17:47:00Z</dcterms:modified>
</cp:coreProperties>
</file>